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color w:val="auto"/>
          <w:sz w:val="32"/>
          <w:szCs w:val="32"/>
          <w:u w:val="none"/>
        </w:rPr>
      </w:pPr>
      <w:r>
        <w:rPr>
          <w:rFonts w:hint="eastAsia" w:ascii="仿宋_GB2312" w:eastAsia="仿宋_GB2312"/>
          <w:color w:val="auto"/>
          <w:sz w:val="32"/>
          <w:szCs w:val="32"/>
          <w:u w:val="none"/>
        </w:rPr>
        <w:t>附件：</w:t>
      </w:r>
    </w:p>
    <w:p>
      <w:pPr>
        <w:spacing w:line="560" w:lineRule="exact"/>
        <w:jc w:val="center"/>
        <w:rPr>
          <w:rFonts w:ascii="仿宋_GB2312" w:eastAsia="方正小标宋简体"/>
          <w:color w:val="auto"/>
          <w:sz w:val="32"/>
          <w:szCs w:val="32"/>
          <w:u w:val="none"/>
        </w:rPr>
      </w:pPr>
      <w:bookmarkStart w:id="0" w:name="_GoBack"/>
      <w:r>
        <w:rPr>
          <w:rFonts w:hint="eastAsia" w:ascii="方正小标宋简体" w:hAnsi="方正小标宋简体" w:eastAsia="方正小标宋简体" w:cs="方正小标宋简体"/>
          <w:bCs/>
          <w:color w:val="auto"/>
          <w:sz w:val="44"/>
          <w:szCs w:val="44"/>
          <w:u w:val="none"/>
        </w:rPr>
        <w:t>黄山市徽城投资集团有限公司招聘人员计划表</w:t>
      </w:r>
    </w:p>
    <w:bookmarkEnd w:id="0"/>
    <w:p>
      <w:pPr>
        <w:spacing w:line="560" w:lineRule="exact"/>
        <w:rPr>
          <w:rFonts w:ascii="仿宋_GB2312" w:eastAsia="仿宋_GB2312"/>
          <w:color w:val="auto"/>
          <w:sz w:val="32"/>
          <w:szCs w:val="32"/>
          <w:u w:val="none"/>
        </w:rPr>
      </w:pPr>
    </w:p>
    <w:tbl>
      <w:tblPr>
        <w:tblStyle w:val="2"/>
        <w:tblW w:w="13750" w:type="dxa"/>
        <w:tblInd w:w="10" w:type="dxa"/>
        <w:shd w:val="clear" w:color="auto" w:fill="FDFCFC"/>
        <w:tblLayout w:type="fixed"/>
        <w:tblCellMar>
          <w:top w:w="0" w:type="dxa"/>
          <w:left w:w="0" w:type="dxa"/>
          <w:bottom w:w="0" w:type="dxa"/>
          <w:right w:w="0" w:type="dxa"/>
        </w:tblCellMar>
      </w:tblPr>
      <w:tblGrid>
        <w:gridCol w:w="567"/>
        <w:gridCol w:w="1276"/>
        <w:gridCol w:w="1134"/>
        <w:gridCol w:w="1276"/>
        <w:gridCol w:w="709"/>
        <w:gridCol w:w="1417"/>
        <w:gridCol w:w="2552"/>
        <w:gridCol w:w="1559"/>
        <w:gridCol w:w="963"/>
        <w:gridCol w:w="2297"/>
      </w:tblGrid>
      <w:tr>
        <w:tblPrEx>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color w:val="auto"/>
                <w:sz w:val="24"/>
                <w:u w:val="none"/>
              </w:rPr>
            </w:pPr>
          </w:p>
          <w:p>
            <w:pPr>
              <w:jc w:val="center"/>
              <w:rPr>
                <w:rFonts w:ascii="黑体" w:hAnsi="黑体" w:eastAsia="黑体" w:cs="黑体"/>
                <w:color w:val="auto"/>
                <w:sz w:val="24"/>
                <w:u w:val="none"/>
              </w:rPr>
            </w:pPr>
            <w:r>
              <w:rPr>
                <w:rFonts w:hint="eastAsia" w:ascii="黑体" w:hAnsi="黑体" w:eastAsia="黑体" w:cs="黑体"/>
                <w:color w:val="auto"/>
                <w:sz w:val="24"/>
                <w:u w:val="none"/>
              </w:rPr>
              <w:t>序号</w:t>
            </w:r>
          </w:p>
        </w:tc>
        <w:tc>
          <w:tcPr>
            <w:tcW w:w="1276"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color w:val="auto"/>
                <w:sz w:val="24"/>
                <w:u w:val="none"/>
              </w:rPr>
            </w:pPr>
          </w:p>
          <w:p>
            <w:pPr>
              <w:jc w:val="center"/>
              <w:rPr>
                <w:rFonts w:ascii="黑体" w:hAnsi="黑体" w:eastAsia="黑体" w:cs="黑体"/>
                <w:color w:val="auto"/>
                <w:sz w:val="24"/>
                <w:u w:val="none"/>
              </w:rPr>
            </w:pPr>
            <w:r>
              <w:rPr>
                <w:rFonts w:hint="eastAsia" w:ascii="黑体" w:hAnsi="黑体" w:eastAsia="黑体" w:cs="黑体"/>
                <w:color w:val="auto"/>
                <w:sz w:val="24"/>
                <w:u w:val="none"/>
              </w:rPr>
              <w:t>部门/公司</w:t>
            </w:r>
          </w:p>
          <w:p>
            <w:pPr>
              <w:jc w:val="center"/>
              <w:rPr>
                <w:rFonts w:ascii="黑体" w:hAnsi="黑体" w:eastAsia="黑体" w:cs="黑体"/>
                <w:color w:val="auto"/>
                <w:sz w:val="24"/>
                <w:u w:val="none"/>
              </w:rPr>
            </w:pP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招聘岗位</w:t>
            </w:r>
          </w:p>
        </w:tc>
        <w:tc>
          <w:tcPr>
            <w:tcW w:w="1276" w:type="dxa"/>
            <w:vMerge w:val="restart"/>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所属部门</w:t>
            </w:r>
          </w:p>
        </w:tc>
        <w:tc>
          <w:tcPr>
            <w:tcW w:w="709"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w:t>
            </w:r>
          </w:p>
          <w:p>
            <w:pPr>
              <w:jc w:val="center"/>
              <w:rPr>
                <w:rFonts w:ascii="黑体" w:hAnsi="黑体" w:eastAsia="黑体" w:cs="黑体"/>
                <w:color w:val="auto"/>
                <w:sz w:val="24"/>
                <w:u w:val="none"/>
              </w:rPr>
            </w:pPr>
            <w:r>
              <w:rPr>
                <w:rFonts w:hint="eastAsia" w:ascii="黑体" w:hAnsi="黑体" w:eastAsia="黑体" w:cs="黑体"/>
                <w:color w:val="auto"/>
                <w:sz w:val="24"/>
                <w:u w:val="none"/>
              </w:rPr>
              <w:t>人数</w:t>
            </w:r>
          </w:p>
        </w:tc>
        <w:tc>
          <w:tcPr>
            <w:tcW w:w="1417"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招聘方式</w:t>
            </w:r>
          </w:p>
        </w:tc>
        <w:tc>
          <w:tcPr>
            <w:tcW w:w="5074"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招聘条件</w:t>
            </w:r>
          </w:p>
        </w:tc>
        <w:tc>
          <w:tcPr>
            <w:tcW w:w="2297"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color w:val="auto"/>
                <w:sz w:val="24"/>
                <w:u w:val="none"/>
              </w:rPr>
            </w:pPr>
          </w:p>
        </w:tc>
        <w:tc>
          <w:tcPr>
            <w:tcW w:w="1276" w:type="dxa"/>
            <w:vMerge w:val="continue"/>
            <w:tcBorders>
              <w:left w:val="single" w:color="000000" w:sz="8" w:space="0"/>
              <w:bottom w:val="single" w:color="auto" w:sz="4" w:space="0"/>
              <w:right w:val="single" w:color="000000" w:sz="8" w:space="0"/>
            </w:tcBorders>
            <w:shd w:val="clear" w:color="auto" w:fill="FDFCFC"/>
          </w:tcPr>
          <w:p>
            <w:pPr>
              <w:rPr>
                <w:color w:val="auto"/>
                <w:sz w:val="24"/>
                <w:u w:val="none"/>
              </w:rPr>
            </w:pPr>
          </w:p>
        </w:tc>
        <w:tc>
          <w:tcPr>
            <w:tcW w:w="1134" w:type="dxa"/>
            <w:vMerge w:val="continue"/>
            <w:tcBorders>
              <w:top w:val="single" w:color="000000" w:sz="8" w:space="0"/>
              <w:left w:val="single" w:color="000000" w:sz="8" w:space="0"/>
              <w:bottom w:val="single" w:color="auto" w:sz="4" w:space="0"/>
              <w:right w:val="single" w:color="000000" w:sz="8" w:space="0"/>
            </w:tcBorders>
            <w:shd w:val="clear" w:color="auto" w:fill="FDFCFC"/>
            <w:vAlign w:val="center"/>
          </w:tcPr>
          <w:p>
            <w:pPr>
              <w:rPr>
                <w:color w:val="auto"/>
                <w:sz w:val="24"/>
                <w:u w:val="none"/>
              </w:rPr>
            </w:pPr>
          </w:p>
        </w:tc>
        <w:tc>
          <w:tcPr>
            <w:tcW w:w="1276" w:type="dxa"/>
            <w:vMerge w:val="continue"/>
            <w:tcBorders>
              <w:top w:val="single" w:color="000000" w:sz="8" w:space="0"/>
              <w:left w:val="single" w:color="000000" w:sz="8" w:space="0"/>
              <w:bottom w:val="single" w:color="000000" w:sz="8" w:space="0"/>
              <w:right w:val="single" w:color="auto" w:sz="4" w:space="0"/>
            </w:tcBorders>
            <w:shd w:val="clear" w:color="auto" w:fill="FDFCFC"/>
            <w:vAlign w:val="center"/>
          </w:tcPr>
          <w:p>
            <w:pPr>
              <w:rPr>
                <w:color w:val="auto"/>
                <w:sz w:val="24"/>
                <w:u w:val="none"/>
              </w:rPr>
            </w:pPr>
          </w:p>
        </w:tc>
        <w:tc>
          <w:tcPr>
            <w:tcW w:w="709"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color w:val="auto"/>
                <w:sz w:val="24"/>
                <w:u w:val="none"/>
              </w:rPr>
            </w:pPr>
          </w:p>
        </w:tc>
        <w:tc>
          <w:tcPr>
            <w:tcW w:w="1417" w:type="dxa"/>
            <w:vMerge w:val="continue"/>
            <w:tcBorders>
              <w:left w:val="single" w:color="000000" w:sz="8" w:space="0"/>
              <w:bottom w:val="single" w:color="000000" w:sz="8" w:space="0"/>
              <w:right w:val="single" w:color="000000" w:sz="8" w:space="0"/>
            </w:tcBorders>
            <w:shd w:val="clear" w:color="auto" w:fill="FDFCFC"/>
            <w:vAlign w:val="center"/>
          </w:tcPr>
          <w:p>
            <w:pPr>
              <w:rPr>
                <w:color w:val="auto"/>
                <w:sz w:val="24"/>
                <w:u w:val="none"/>
              </w:rPr>
            </w:pPr>
          </w:p>
        </w:tc>
        <w:tc>
          <w:tcPr>
            <w:tcW w:w="2552"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专业</w:t>
            </w:r>
          </w:p>
        </w:tc>
        <w:tc>
          <w:tcPr>
            <w:tcW w:w="1559"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学历</w:t>
            </w:r>
          </w:p>
        </w:tc>
        <w:tc>
          <w:tcPr>
            <w:tcW w:w="963"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color w:val="auto"/>
                <w:sz w:val="24"/>
                <w:u w:val="none"/>
              </w:rPr>
            </w:pPr>
            <w:r>
              <w:rPr>
                <w:rFonts w:hint="eastAsia" w:ascii="黑体" w:hAnsi="黑体" w:eastAsia="黑体" w:cs="黑体"/>
                <w:color w:val="auto"/>
                <w:sz w:val="24"/>
                <w:u w:val="none"/>
              </w:rPr>
              <w:t>年龄</w:t>
            </w:r>
          </w:p>
        </w:tc>
        <w:tc>
          <w:tcPr>
            <w:tcW w:w="2297"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color w:val="auto"/>
                <w:sz w:val="24"/>
                <w:u w:val="none"/>
              </w:rPr>
            </w:pPr>
          </w:p>
        </w:tc>
      </w:tr>
      <w:tr>
        <w:tblPrEx>
          <w:shd w:val="clear" w:color="auto" w:fill="FDFCFC"/>
          <w:tblCellMar>
            <w:top w:w="0" w:type="dxa"/>
            <w:left w:w="0" w:type="dxa"/>
            <w:bottom w:w="0" w:type="dxa"/>
            <w:right w:w="0" w:type="dxa"/>
          </w:tblCellMar>
        </w:tblPrEx>
        <w:trPr>
          <w:trHeight w:val="1123"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tcPr>
          <w:p>
            <w:pPr>
              <w:rPr>
                <w:rFonts w:eastAsia="仿宋_GB2312"/>
                <w:color w:val="auto"/>
                <w:szCs w:val="21"/>
                <w:u w:val="none"/>
              </w:rPr>
            </w:pPr>
          </w:p>
          <w:p>
            <w:pPr>
              <w:rPr>
                <w:rFonts w:eastAsia="仿宋_GB2312"/>
                <w:color w:val="auto"/>
                <w:szCs w:val="21"/>
                <w:u w:val="none"/>
              </w:rPr>
            </w:pPr>
          </w:p>
          <w:p>
            <w:pPr>
              <w:rPr>
                <w:rFonts w:eastAsia="仿宋_GB2312"/>
                <w:color w:val="auto"/>
                <w:szCs w:val="21"/>
                <w:u w:val="none"/>
              </w:rPr>
            </w:pPr>
            <w:r>
              <w:rPr>
                <w:rFonts w:hint="eastAsia" w:eastAsia="仿宋_GB2312"/>
                <w:color w:val="auto"/>
                <w:szCs w:val="21"/>
                <w:u w:val="none"/>
              </w:rPr>
              <w:t xml:space="preserve">  </w:t>
            </w:r>
          </w:p>
          <w:p>
            <w:pPr>
              <w:ind w:firstLine="210" w:firstLineChars="100"/>
              <w:rPr>
                <w:rFonts w:eastAsia="仿宋_GB2312"/>
                <w:color w:val="auto"/>
                <w:szCs w:val="21"/>
                <w:u w:val="none"/>
              </w:rPr>
            </w:pPr>
          </w:p>
          <w:p>
            <w:pPr>
              <w:ind w:firstLine="210" w:firstLineChars="100"/>
              <w:rPr>
                <w:rFonts w:eastAsia="仿宋_GB2312"/>
                <w:color w:val="auto"/>
                <w:szCs w:val="21"/>
                <w:u w:val="none"/>
              </w:rPr>
            </w:pPr>
            <w:r>
              <w:rPr>
                <w:rFonts w:hint="eastAsia" w:eastAsia="仿宋_GB2312"/>
                <w:color w:val="auto"/>
                <w:szCs w:val="21"/>
                <w:u w:val="none"/>
              </w:rPr>
              <w:t>1</w:t>
            </w:r>
          </w:p>
        </w:tc>
        <w:tc>
          <w:tcPr>
            <w:tcW w:w="1276" w:type="dxa"/>
            <w:tcBorders>
              <w:top w:val="single" w:color="auto" w:sz="4" w:space="0"/>
              <w:left w:val="single" w:color="000000" w:sz="8" w:space="0"/>
              <w:bottom w:val="single" w:color="000000" w:sz="8" w:space="0"/>
              <w:right w:val="single" w:color="000000" w:sz="8" w:space="0"/>
            </w:tcBorders>
            <w:shd w:val="clear" w:color="auto" w:fill="FDFCFC"/>
          </w:tcPr>
          <w:p>
            <w:pP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r>
              <w:rPr>
                <w:rFonts w:hint="eastAsia" w:eastAsia="仿宋_GB2312"/>
                <w:color w:val="auto"/>
                <w:szCs w:val="21"/>
                <w:u w:val="none"/>
              </w:rPr>
              <w:t>集团财务  中心</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主办会计岗</w:t>
            </w:r>
          </w:p>
        </w:tc>
        <w:tc>
          <w:tcPr>
            <w:tcW w:w="1276" w:type="dxa"/>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财务中心</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面向社会</w:t>
            </w:r>
          </w:p>
        </w:tc>
        <w:tc>
          <w:tcPr>
            <w:tcW w:w="2552"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财务管理专业、会计学专业</w:t>
            </w:r>
          </w:p>
        </w:tc>
        <w:tc>
          <w:tcPr>
            <w:tcW w:w="1559" w:type="dxa"/>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全日制</w:t>
            </w:r>
            <w:r>
              <w:rPr>
                <w:rFonts w:hint="eastAsia" w:eastAsia="仿宋_GB2312"/>
                <w:color w:val="auto"/>
                <w:szCs w:val="21"/>
                <w:u w:val="none"/>
              </w:rPr>
              <w:t>本科</w:t>
            </w:r>
            <w:r>
              <w:rPr>
                <w:rFonts w:eastAsia="仿宋_GB2312"/>
                <w:color w:val="auto"/>
                <w:szCs w:val="21"/>
                <w:u w:val="none"/>
              </w:rPr>
              <w:t>及以上学历</w:t>
            </w:r>
          </w:p>
        </w:tc>
        <w:tc>
          <w:tcPr>
            <w:tcW w:w="963" w:type="dxa"/>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35周岁</w:t>
            </w:r>
            <w:r>
              <w:rPr>
                <w:rFonts w:hint="eastAsia" w:eastAsia="仿宋_GB2312"/>
                <w:color w:val="auto"/>
                <w:szCs w:val="21"/>
                <w:u w:val="none"/>
              </w:rPr>
              <w:t xml:space="preserve"> </w:t>
            </w:r>
            <w:r>
              <w:rPr>
                <w:rFonts w:eastAsia="仿宋_GB2312"/>
                <w:color w:val="auto"/>
                <w:szCs w:val="21"/>
                <w:u w:val="none"/>
              </w:rPr>
              <w:t>以下</w:t>
            </w:r>
          </w:p>
        </w:tc>
        <w:tc>
          <w:tcPr>
            <w:tcW w:w="229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left"/>
              <w:rPr>
                <w:rFonts w:eastAsia="仿宋_GB2312"/>
                <w:color w:val="auto"/>
                <w:szCs w:val="21"/>
                <w:u w:val="none"/>
              </w:rPr>
            </w:pPr>
            <w:r>
              <w:rPr>
                <w:rFonts w:hint="eastAsia" w:eastAsia="仿宋_GB2312"/>
                <w:color w:val="auto"/>
                <w:szCs w:val="21"/>
                <w:u w:val="none"/>
              </w:rPr>
              <w:t>需持有中级会计师及以上证书。如持有中级会计师及以上证书的且具有财务部门负责人经验的予以加分（任职企业的注册资本需为1千万元及以上）。薪酬参照财务中心副主任待遇执行。</w:t>
            </w:r>
          </w:p>
        </w:tc>
      </w:tr>
      <w:tr>
        <w:tblPrEx>
          <w:tblCellMar>
            <w:top w:w="0" w:type="dxa"/>
            <w:left w:w="0" w:type="dxa"/>
            <w:bottom w:w="0" w:type="dxa"/>
            <w:right w:w="0" w:type="dxa"/>
          </w:tblCellMar>
        </w:tblPrEx>
        <w:trPr>
          <w:trHeight w:val="1178"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tcPr>
          <w:p>
            <w:pPr>
              <w:rPr>
                <w:rFonts w:eastAsia="仿宋_GB2312"/>
                <w:color w:val="auto"/>
                <w:szCs w:val="21"/>
                <w:u w:val="none"/>
              </w:rPr>
            </w:pPr>
          </w:p>
          <w:p>
            <w:pPr>
              <w:rPr>
                <w:rFonts w:eastAsia="仿宋_GB2312"/>
                <w:color w:val="auto"/>
                <w:szCs w:val="21"/>
                <w:u w:val="none"/>
              </w:rPr>
            </w:pPr>
          </w:p>
          <w:p>
            <w:pPr>
              <w:rPr>
                <w:rFonts w:eastAsia="仿宋_GB2312"/>
                <w:color w:val="auto"/>
                <w:szCs w:val="21"/>
                <w:u w:val="none"/>
              </w:rPr>
            </w:pPr>
            <w:r>
              <w:rPr>
                <w:rFonts w:hint="eastAsia" w:eastAsia="仿宋_GB2312"/>
                <w:color w:val="auto"/>
                <w:szCs w:val="21"/>
                <w:u w:val="none"/>
              </w:rPr>
              <w:t xml:space="preserve">  </w:t>
            </w:r>
          </w:p>
          <w:p>
            <w:pPr>
              <w:rPr>
                <w:rFonts w:eastAsia="仿宋_GB2312"/>
                <w:color w:val="auto"/>
                <w:szCs w:val="21"/>
                <w:u w:val="none"/>
              </w:rPr>
            </w:pPr>
          </w:p>
          <w:p>
            <w:pPr>
              <w:ind w:firstLine="210" w:firstLineChars="100"/>
              <w:rPr>
                <w:rFonts w:eastAsia="仿宋_GB2312"/>
                <w:color w:val="auto"/>
                <w:szCs w:val="21"/>
                <w:u w:val="none"/>
              </w:rPr>
            </w:pPr>
          </w:p>
          <w:p>
            <w:pPr>
              <w:ind w:firstLine="210" w:firstLineChars="100"/>
              <w:rPr>
                <w:rFonts w:eastAsia="仿宋_GB2312"/>
                <w:color w:val="auto"/>
                <w:szCs w:val="21"/>
                <w:u w:val="none"/>
              </w:rPr>
            </w:pPr>
            <w:r>
              <w:rPr>
                <w:rFonts w:hint="eastAsia" w:eastAsia="仿宋_GB2312"/>
                <w:color w:val="auto"/>
                <w:szCs w:val="21"/>
                <w:u w:val="none"/>
              </w:rPr>
              <w:t>2</w:t>
            </w:r>
          </w:p>
        </w:tc>
        <w:tc>
          <w:tcPr>
            <w:tcW w:w="1276" w:type="dxa"/>
            <w:tcBorders>
              <w:top w:val="single" w:color="000000" w:sz="8" w:space="0"/>
              <w:left w:val="single" w:color="000000" w:sz="8" w:space="0"/>
              <w:bottom w:val="single" w:color="000000" w:sz="8" w:space="0"/>
              <w:right w:val="single" w:color="000000" w:sz="8" w:space="0"/>
            </w:tcBorders>
            <w:shd w:val="clear" w:color="auto" w:fill="FDFCFC"/>
          </w:tcPr>
          <w:p>
            <w:pP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p>
          <w:p>
            <w:pPr>
              <w:jc w:val="center"/>
              <w:rPr>
                <w:rFonts w:eastAsia="仿宋_GB2312"/>
                <w:color w:val="auto"/>
                <w:szCs w:val="21"/>
                <w:u w:val="none"/>
              </w:rPr>
            </w:pPr>
            <w:r>
              <w:rPr>
                <w:rFonts w:hint="eastAsia" w:eastAsia="仿宋_GB2312"/>
                <w:color w:val="auto"/>
                <w:szCs w:val="21"/>
                <w:u w:val="none"/>
              </w:rPr>
              <w:t>市政公司 （集团权属子公司）</w:t>
            </w:r>
          </w:p>
        </w:tc>
        <w:tc>
          <w:tcPr>
            <w:tcW w:w="1134"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工程管理岗</w:t>
            </w:r>
          </w:p>
        </w:tc>
        <w:tc>
          <w:tcPr>
            <w:tcW w:w="1276" w:type="dxa"/>
            <w:tcBorders>
              <w:top w:val="single" w:color="000000" w:sz="8" w:space="0"/>
              <w:left w:val="single" w:color="000000" w:sz="8" w:space="0"/>
              <w:bottom w:val="single" w:color="000000" w:sz="8" w:space="0"/>
              <w:right w:val="single" w:color="auto" w:sz="4"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工程</w:t>
            </w:r>
            <w:r>
              <w:rPr>
                <w:rFonts w:eastAsia="仿宋_GB2312"/>
                <w:color w:val="auto"/>
                <w:szCs w:val="21"/>
                <w:u w:val="none"/>
              </w:rPr>
              <w:t>部</w:t>
            </w:r>
          </w:p>
        </w:tc>
        <w:tc>
          <w:tcPr>
            <w:tcW w:w="709" w:type="dxa"/>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面向社会</w:t>
            </w:r>
          </w:p>
        </w:tc>
        <w:tc>
          <w:tcPr>
            <w:tcW w:w="2552"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hint="eastAsia" w:eastAsia="仿宋_GB2312"/>
                <w:color w:val="auto"/>
                <w:szCs w:val="21"/>
                <w:u w:val="none"/>
              </w:rPr>
              <w:t>土木类，材料类，工程管理专业、工程造价专业</w:t>
            </w:r>
          </w:p>
        </w:tc>
        <w:tc>
          <w:tcPr>
            <w:tcW w:w="1559"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全日制</w:t>
            </w:r>
            <w:r>
              <w:rPr>
                <w:rFonts w:hint="eastAsia" w:eastAsia="仿宋_GB2312"/>
                <w:color w:val="auto"/>
                <w:szCs w:val="21"/>
                <w:u w:val="none"/>
              </w:rPr>
              <w:t>本科</w:t>
            </w:r>
            <w:r>
              <w:rPr>
                <w:rFonts w:eastAsia="仿宋_GB2312"/>
                <w:color w:val="auto"/>
                <w:szCs w:val="21"/>
                <w:u w:val="none"/>
              </w:rPr>
              <w:t>及以上学历</w:t>
            </w:r>
          </w:p>
        </w:tc>
        <w:tc>
          <w:tcPr>
            <w:tcW w:w="963"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eastAsia="仿宋_GB2312"/>
                <w:color w:val="auto"/>
                <w:szCs w:val="21"/>
                <w:u w:val="none"/>
              </w:rPr>
            </w:pPr>
            <w:r>
              <w:rPr>
                <w:rFonts w:eastAsia="仿宋_GB2312"/>
                <w:color w:val="auto"/>
                <w:szCs w:val="21"/>
                <w:u w:val="none"/>
              </w:rPr>
              <w:t>35周岁</w:t>
            </w:r>
            <w:r>
              <w:rPr>
                <w:rFonts w:hint="eastAsia" w:eastAsia="仿宋_GB2312"/>
                <w:color w:val="auto"/>
                <w:szCs w:val="21"/>
                <w:u w:val="none"/>
              </w:rPr>
              <w:t xml:space="preserve"> </w:t>
            </w:r>
            <w:r>
              <w:rPr>
                <w:rFonts w:eastAsia="仿宋_GB2312"/>
                <w:color w:val="auto"/>
                <w:szCs w:val="21"/>
                <w:u w:val="none"/>
              </w:rPr>
              <w:t>以下</w:t>
            </w:r>
          </w:p>
        </w:tc>
        <w:tc>
          <w:tcPr>
            <w:tcW w:w="229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left"/>
              <w:rPr>
                <w:rFonts w:eastAsia="仿宋_GB2312"/>
                <w:color w:val="auto"/>
                <w:szCs w:val="21"/>
                <w:u w:val="none"/>
              </w:rPr>
            </w:pPr>
            <w:r>
              <w:rPr>
                <w:rFonts w:hint="eastAsia" w:eastAsia="仿宋_GB2312"/>
                <w:color w:val="auto"/>
                <w:szCs w:val="21"/>
                <w:u w:val="none"/>
              </w:rPr>
              <w:t>需持有二级建造师及以上证书。如持有一级建造师证且具有项目部门负责人经验的予以加分（任职企业的注册资本需为1千万元及以上）。薪酬参照新入职的子公司部门主任待遇执行。</w:t>
            </w:r>
          </w:p>
        </w:tc>
      </w:tr>
    </w:tbl>
    <w:p>
      <w:pPr>
        <w:rPr>
          <w:rFonts w:ascii="仿宋_GB2312" w:eastAsia="仿宋_GB2312"/>
          <w:color w:val="auto"/>
          <w:sz w:val="32"/>
          <w:szCs w:val="32"/>
          <w:u w:val="none"/>
        </w:rPr>
      </w:pPr>
    </w:p>
    <w:p/>
    <w:sectPr>
      <w:pgSz w:w="16838" w:h="11906" w:orient="landscape"/>
      <w:pgMar w:top="1418" w:right="1418" w:bottom="141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273B3"/>
    <w:rsid w:val="08D2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2020-07-23T07:37:00Z</dcterms:created>
  <dc:creator>万户网络</dc:creator>
  <cp:lastModifiedBy>万户网络</cp:lastModifiedBy>
  <dcterms:modified xsi:type="dcterms:W3CDTF">2020-07-23T07:39:38Z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