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黄山市徽城投资集团有限公司下属子公司招聘人员计划表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2"/>
        <w:tblW w:w="1375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134"/>
        <w:gridCol w:w="1276"/>
        <w:gridCol w:w="709"/>
        <w:gridCol w:w="1417"/>
        <w:gridCol w:w="2552"/>
        <w:gridCol w:w="1559"/>
        <w:gridCol w:w="85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FCFC"/>
        </w:tblPrEx>
        <w:trPr>
          <w:trHeight w:val="451" w:hRule="atLeast"/>
        </w:trPr>
        <w:tc>
          <w:tcPr>
            <w:tcW w:w="567" w:type="dxa"/>
            <w:vMerge w:val="restart"/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</w:t>
            </w:r>
          </w:p>
        </w:tc>
        <w:tc>
          <w:tcPr>
            <w:tcW w:w="1134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276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417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961" w:type="dxa"/>
            <w:gridSpan w:val="3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2410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FCFC"/>
        </w:tblPrEx>
        <w:trPr>
          <w:trHeight w:val="440" w:hRule="atLeast"/>
        </w:trPr>
        <w:tc>
          <w:tcPr>
            <w:tcW w:w="567" w:type="dxa"/>
            <w:vMerge w:val="continue"/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vMerge w:val="continue"/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559" w:type="dxa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0" w:type="dxa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2410" w:type="dxa"/>
            <w:vMerge w:val="continue"/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567" w:type="dxa"/>
            <w:shd w:val="clear" w:color="auto" w:fill="FDFCFC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1</w:t>
            </w:r>
          </w:p>
        </w:tc>
        <w:tc>
          <w:tcPr>
            <w:tcW w:w="1276" w:type="dxa"/>
            <w:shd w:val="clear" w:color="auto" w:fill="FDFCFC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黄山市黄山市新安江百里大画廊旅游开发有限公司（集团权属子公司）</w:t>
            </w:r>
          </w:p>
        </w:tc>
        <w:tc>
          <w:tcPr>
            <w:tcW w:w="1134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导游岗</w:t>
            </w:r>
          </w:p>
        </w:tc>
        <w:tc>
          <w:tcPr>
            <w:tcW w:w="1276" w:type="dxa"/>
            <w:shd w:val="clear" w:color="auto" w:fill="FDFCFC"/>
            <w:vAlign w:val="center"/>
          </w:tcPr>
          <w:p>
            <w:pPr>
              <w:ind w:firstLine="105" w:firstLineChar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投资运营管理部</w:t>
            </w:r>
          </w:p>
        </w:tc>
        <w:tc>
          <w:tcPr>
            <w:tcW w:w="709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1417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552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559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高中及以上学历</w:t>
            </w:r>
          </w:p>
        </w:tc>
        <w:tc>
          <w:tcPr>
            <w:tcW w:w="850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</w:t>
            </w:r>
            <w:r>
              <w:rPr>
                <w:rFonts w:eastAsia="仿宋_GB2312"/>
                <w:szCs w:val="21"/>
              </w:rPr>
              <w:t>周岁以下</w:t>
            </w:r>
          </w:p>
        </w:tc>
        <w:tc>
          <w:tcPr>
            <w:tcW w:w="2410" w:type="dxa"/>
            <w:shd w:val="clear" w:color="auto" w:fill="FDFCFC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有亲和力，具备较强的口表能力，能吃苦耐劳，有A级以上（含A级）景区讲解工作经验1整年及以上的予以加分。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51A1C"/>
    <w:rsid w:val="7495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2020-06-16T03:02:00Z</dcterms:created>
  <dc:creator>gyb1</dc:creator>
  <cp:lastModifiedBy>gyb1</cp:lastModifiedBy>
  <dcterms:modified xsi:type="dcterms:W3CDTF">2020-06-16T03:03:53Z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