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黄山市徽城投资集团有限公司招聘人员计划表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2"/>
        <w:tblW w:w="13750" w:type="dxa"/>
        <w:tblInd w:w="10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1276"/>
        <w:gridCol w:w="709"/>
        <w:gridCol w:w="1417"/>
        <w:gridCol w:w="2552"/>
        <w:gridCol w:w="1559"/>
        <w:gridCol w:w="963"/>
        <w:gridCol w:w="22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50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22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22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市政公司 （集团权属子公司）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内审管理岗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业务</w:t>
            </w:r>
            <w:r>
              <w:rPr>
                <w:rFonts w:eastAsia="仿宋_GB2312"/>
                <w:szCs w:val="21"/>
              </w:rPr>
              <w:t>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工程管理专业、工程造价专业、审计学专业、房地产开发与管理专业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全日制</w:t>
            </w:r>
            <w:r>
              <w:rPr>
                <w:rFonts w:hint="eastAsia" w:eastAsia="仿宋_GB2312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及以上学历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35周岁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需有2整年及以上建筑施工类企业工作经验（应聘时需提供有效证明）。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鸿瑞新材料（集团权属子公司）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财务核算岗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销售运营部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财政学专业、财务管理专业、会计专业、审计学专业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</w:t>
            </w:r>
            <w:r>
              <w:rPr>
                <w:rFonts w:eastAsia="仿宋_GB2312"/>
                <w:szCs w:val="21"/>
              </w:rPr>
              <w:t>以上学历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35周岁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　担任工业类企业（企业注册资本1000万元及以上）主办会计5整年以上（应聘时需提供有效证明）。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自来水有限公司（集团权属子公司）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勘探设计岗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工程技术</w:t>
            </w:r>
            <w:r>
              <w:rPr>
                <w:rFonts w:eastAsia="仿宋_GB2312"/>
                <w:szCs w:val="21"/>
              </w:rPr>
              <w:t>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土木类，城乡规划专业、工程管理专业、工程造价专业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全日制</w:t>
            </w:r>
            <w:r>
              <w:rPr>
                <w:rFonts w:hint="eastAsia" w:eastAsia="仿宋_GB2312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及以上学历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周岁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2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持有二级建造师、造价员及以上证书的，同等条件优先录取。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14675"/>
    <w:rsid w:val="7FC1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2020-05-18T01:10:00Z</dcterms:created>
  <dc:creator>万户网络</dc:creator>
  <cp:lastModifiedBy>万户网络</cp:lastModifiedBy>
  <dcterms:modified xsi:type="dcterms:W3CDTF">2020-05-18T01:10:14Z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