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小标宋简体" w:hAnsi="方正小标宋简体" w:eastAsia="方正小标宋简体" w:cs="方正小标宋简体"/>
          <w:bCs/>
          <w:sz w:val="44"/>
          <w:szCs w:val="44"/>
        </w:rPr>
      </w:pPr>
      <w:r>
        <w:rPr>
          <w:rFonts w:hint="eastAsia" w:ascii="仿宋_GB2312" w:eastAsia="仿宋_GB2312"/>
          <w:sz w:val="32"/>
          <w:szCs w:val="32"/>
        </w:rPr>
        <w:t>附件：</w:t>
      </w:r>
    </w:p>
    <w:p>
      <w:pPr>
        <w:spacing w:line="560" w:lineRule="exact"/>
        <w:jc w:val="center"/>
        <w:rPr>
          <w:rFonts w:hint="eastAsia" w:ascii="方正小标宋简体" w:hAnsi="方正小标宋简体" w:eastAsia="方正小标宋简体" w:cs="方正小标宋简体"/>
          <w:bCs/>
          <w:sz w:val="44"/>
          <w:szCs w:val="44"/>
        </w:rPr>
      </w:pPr>
    </w:p>
    <w:p>
      <w:pPr>
        <w:spacing w:line="560" w:lineRule="exact"/>
        <w:jc w:val="center"/>
        <w:rPr>
          <w:rFonts w:ascii="仿宋_GB2312" w:eastAsia="方正小标宋简体"/>
          <w:sz w:val="32"/>
          <w:szCs w:val="32"/>
        </w:rPr>
      </w:pPr>
      <w:r>
        <w:rPr>
          <w:rFonts w:hint="eastAsia" w:ascii="方正小标宋简体" w:hAnsi="方正小标宋简体" w:eastAsia="方正小标宋简体" w:cs="方正小标宋简体"/>
          <w:bCs/>
          <w:sz w:val="44"/>
          <w:szCs w:val="44"/>
        </w:rPr>
        <w:t>黄山徽投集团下属歙县建设工程质量检测有限公司招聘计划表</w:t>
      </w:r>
    </w:p>
    <w:p>
      <w:pPr>
        <w:spacing w:line="560" w:lineRule="exact"/>
        <w:rPr>
          <w:rFonts w:ascii="仿宋_GB2312" w:eastAsia="仿宋_GB2312"/>
          <w:color w:val="FF0000"/>
          <w:sz w:val="32"/>
          <w:szCs w:val="32"/>
          <w:u w:val="single"/>
        </w:rPr>
      </w:pPr>
    </w:p>
    <w:tbl>
      <w:tblPr>
        <w:tblStyle w:val="3"/>
        <w:tblW w:w="15026" w:type="dxa"/>
        <w:tblInd w:w="-699" w:type="dxa"/>
        <w:shd w:val="clear" w:color="auto" w:fill="FDFCFC"/>
        <w:tblLayout w:type="fixed"/>
        <w:tblCellMar>
          <w:top w:w="0" w:type="dxa"/>
          <w:left w:w="0" w:type="dxa"/>
          <w:bottom w:w="0" w:type="dxa"/>
          <w:right w:w="0" w:type="dxa"/>
        </w:tblCellMar>
      </w:tblPr>
      <w:tblGrid>
        <w:gridCol w:w="567"/>
        <w:gridCol w:w="1135"/>
        <w:gridCol w:w="1417"/>
        <w:gridCol w:w="567"/>
        <w:gridCol w:w="1134"/>
        <w:gridCol w:w="2250"/>
        <w:gridCol w:w="18"/>
        <w:gridCol w:w="1417"/>
        <w:gridCol w:w="993"/>
        <w:gridCol w:w="1276"/>
        <w:gridCol w:w="4252"/>
      </w:tblGrid>
      <w:tr>
        <w:tblPrEx>
          <w:shd w:val="clear" w:color="auto" w:fill="FDFCFC"/>
          <w:tblCellMar>
            <w:top w:w="0" w:type="dxa"/>
            <w:left w:w="0" w:type="dxa"/>
            <w:bottom w:w="0" w:type="dxa"/>
            <w:right w:w="0" w:type="dxa"/>
          </w:tblCellMar>
        </w:tblPrEx>
        <w:trPr>
          <w:trHeight w:val="451" w:hRule="atLeast"/>
        </w:trPr>
        <w:tc>
          <w:tcPr>
            <w:tcW w:w="567" w:type="dxa"/>
            <w:vMerge w:val="restart"/>
            <w:tcBorders>
              <w:top w:val="single" w:color="000000" w:sz="8" w:space="0"/>
              <w:left w:val="single" w:color="000000" w:sz="8" w:space="0"/>
              <w:right w:val="single" w:color="000000" w:sz="8" w:space="0"/>
            </w:tcBorders>
            <w:shd w:val="clear" w:color="auto" w:fill="FDFCFC"/>
          </w:tcPr>
          <w:p>
            <w:pPr>
              <w:jc w:val="center"/>
              <w:rPr>
                <w:rFonts w:ascii="黑体" w:hAnsi="黑体" w:eastAsia="黑体" w:cs="黑体"/>
                <w:sz w:val="24"/>
              </w:rPr>
            </w:pPr>
          </w:p>
          <w:p>
            <w:pPr>
              <w:jc w:val="center"/>
              <w:rPr>
                <w:rFonts w:ascii="黑体" w:hAnsi="黑体" w:eastAsia="黑体" w:cs="黑体"/>
                <w:sz w:val="24"/>
              </w:rPr>
            </w:pPr>
            <w:r>
              <w:rPr>
                <w:rFonts w:hint="eastAsia" w:ascii="黑体" w:hAnsi="黑体" w:eastAsia="黑体" w:cs="黑体"/>
                <w:sz w:val="24"/>
              </w:rPr>
              <w:t>序号</w:t>
            </w:r>
          </w:p>
        </w:tc>
        <w:tc>
          <w:tcPr>
            <w:tcW w:w="1135" w:type="dxa"/>
            <w:vMerge w:val="restart"/>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招聘岗位</w:t>
            </w:r>
          </w:p>
        </w:tc>
        <w:tc>
          <w:tcPr>
            <w:tcW w:w="1417" w:type="dxa"/>
            <w:vMerge w:val="restart"/>
            <w:tcBorders>
              <w:top w:val="single" w:color="000000" w:sz="8" w:space="0"/>
              <w:left w:val="single" w:color="000000" w:sz="8" w:space="0"/>
              <w:bottom w:val="single" w:color="000000" w:sz="8" w:space="0"/>
              <w:right w:val="single" w:color="auto" w:sz="4"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所属部门</w:t>
            </w:r>
          </w:p>
        </w:tc>
        <w:tc>
          <w:tcPr>
            <w:tcW w:w="567" w:type="dxa"/>
            <w:vMerge w:val="restart"/>
            <w:tcBorders>
              <w:top w:val="single" w:color="000000" w:sz="8" w:space="0"/>
              <w:left w:val="single" w:color="auto" w:sz="4" w:space="0"/>
              <w:bottom w:val="single" w:color="000000" w:sz="8" w:space="0"/>
              <w:right w:val="single" w:color="000000" w:sz="8"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招聘</w:t>
            </w:r>
          </w:p>
          <w:p>
            <w:pPr>
              <w:jc w:val="center"/>
              <w:rPr>
                <w:rFonts w:ascii="黑体" w:hAnsi="黑体" w:eastAsia="黑体" w:cs="黑体"/>
                <w:sz w:val="24"/>
              </w:rPr>
            </w:pPr>
            <w:r>
              <w:rPr>
                <w:rFonts w:hint="eastAsia" w:ascii="黑体" w:hAnsi="黑体" w:eastAsia="黑体" w:cs="黑体"/>
                <w:sz w:val="24"/>
              </w:rPr>
              <w:t>人数</w:t>
            </w:r>
          </w:p>
        </w:tc>
        <w:tc>
          <w:tcPr>
            <w:tcW w:w="1134" w:type="dxa"/>
            <w:vMerge w:val="restart"/>
            <w:tcBorders>
              <w:top w:val="single" w:color="000000" w:sz="8" w:space="0"/>
              <w:left w:val="single" w:color="000000" w:sz="8" w:space="0"/>
              <w:right w:val="single" w:color="000000" w:sz="8"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招聘方式</w:t>
            </w:r>
          </w:p>
        </w:tc>
        <w:tc>
          <w:tcPr>
            <w:tcW w:w="4678" w:type="dxa"/>
            <w:gridSpan w:val="4"/>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招聘条件</w:t>
            </w:r>
          </w:p>
        </w:tc>
        <w:tc>
          <w:tcPr>
            <w:tcW w:w="1276" w:type="dxa"/>
            <w:vMerge w:val="restart"/>
            <w:tcBorders>
              <w:top w:val="single" w:color="000000" w:sz="8" w:space="0"/>
              <w:left w:val="single" w:color="000000" w:sz="8" w:space="0"/>
              <w:right w:val="single" w:color="000000" w:sz="8" w:space="0"/>
            </w:tcBorders>
            <w:shd w:val="clear" w:color="auto" w:fill="FDFCFC"/>
          </w:tcPr>
          <w:p>
            <w:pPr>
              <w:jc w:val="center"/>
              <w:rPr>
                <w:rFonts w:ascii="黑体" w:hAnsi="黑体" w:eastAsia="黑体" w:cs="黑体"/>
                <w:sz w:val="24"/>
              </w:rPr>
            </w:pPr>
          </w:p>
          <w:p>
            <w:pPr>
              <w:jc w:val="center"/>
              <w:rPr>
                <w:rFonts w:ascii="黑体" w:hAnsi="黑体" w:eastAsia="黑体" w:cs="黑体"/>
                <w:sz w:val="24"/>
              </w:rPr>
            </w:pPr>
            <w:r>
              <w:rPr>
                <w:rFonts w:hint="eastAsia" w:ascii="黑体" w:hAnsi="黑体" w:eastAsia="黑体" w:cs="黑体"/>
                <w:sz w:val="24"/>
              </w:rPr>
              <w:t>考试方式</w:t>
            </w:r>
          </w:p>
        </w:tc>
        <w:tc>
          <w:tcPr>
            <w:tcW w:w="4252" w:type="dxa"/>
            <w:vMerge w:val="restart"/>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其它条件</w:t>
            </w:r>
          </w:p>
        </w:tc>
      </w:tr>
      <w:tr>
        <w:tblPrEx>
          <w:tblCellMar>
            <w:top w:w="0" w:type="dxa"/>
            <w:left w:w="0" w:type="dxa"/>
            <w:bottom w:w="0" w:type="dxa"/>
            <w:right w:w="0" w:type="dxa"/>
          </w:tblCellMar>
        </w:tblPrEx>
        <w:trPr>
          <w:trHeight w:val="440" w:hRule="atLeast"/>
        </w:trPr>
        <w:tc>
          <w:tcPr>
            <w:tcW w:w="567" w:type="dxa"/>
            <w:vMerge w:val="continue"/>
            <w:tcBorders>
              <w:left w:val="single" w:color="000000" w:sz="8" w:space="0"/>
              <w:bottom w:val="single" w:color="000000" w:sz="8" w:space="0"/>
              <w:right w:val="single" w:color="000000" w:sz="8" w:space="0"/>
            </w:tcBorders>
            <w:shd w:val="clear" w:color="auto" w:fill="FDFCFC"/>
          </w:tcPr>
          <w:p>
            <w:pPr>
              <w:rPr>
                <w:sz w:val="24"/>
              </w:rPr>
            </w:pPr>
          </w:p>
        </w:tc>
        <w:tc>
          <w:tcPr>
            <w:tcW w:w="1135" w:type="dxa"/>
            <w:vMerge w:val="continue"/>
            <w:tcBorders>
              <w:top w:val="single" w:color="000000" w:sz="8" w:space="0"/>
              <w:left w:val="single" w:color="000000" w:sz="8" w:space="0"/>
              <w:bottom w:val="single" w:color="000000" w:sz="8" w:space="0"/>
              <w:right w:val="single" w:color="000000" w:sz="8" w:space="0"/>
            </w:tcBorders>
            <w:shd w:val="clear" w:color="auto" w:fill="FDFCFC"/>
            <w:vAlign w:val="center"/>
          </w:tcPr>
          <w:p>
            <w:pPr>
              <w:rPr>
                <w:sz w:val="24"/>
              </w:rPr>
            </w:pPr>
          </w:p>
        </w:tc>
        <w:tc>
          <w:tcPr>
            <w:tcW w:w="1417" w:type="dxa"/>
            <w:vMerge w:val="continue"/>
            <w:tcBorders>
              <w:top w:val="single" w:color="000000" w:sz="8" w:space="0"/>
              <w:left w:val="single" w:color="000000" w:sz="8" w:space="0"/>
              <w:bottom w:val="single" w:color="000000" w:sz="8" w:space="0"/>
              <w:right w:val="single" w:color="auto" w:sz="4" w:space="0"/>
            </w:tcBorders>
            <w:shd w:val="clear" w:color="auto" w:fill="FDFCFC"/>
            <w:vAlign w:val="center"/>
          </w:tcPr>
          <w:p>
            <w:pPr>
              <w:rPr>
                <w:sz w:val="24"/>
              </w:rPr>
            </w:pPr>
          </w:p>
        </w:tc>
        <w:tc>
          <w:tcPr>
            <w:tcW w:w="567" w:type="dxa"/>
            <w:vMerge w:val="continue"/>
            <w:tcBorders>
              <w:top w:val="single" w:color="000000" w:sz="8" w:space="0"/>
              <w:left w:val="single" w:color="auto" w:sz="4" w:space="0"/>
              <w:bottom w:val="single" w:color="000000" w:sz="8" w:space="0"/>
              <w:right w:val="single" w:color="000000" w:sz="8" w:space="0"/>
            </w:tcBorders>
            <w:shd w:val="clear" w:color="auto" w:fill="FDFCFC"/>
            <w:vAlign w:val="center"/>
          </w:tcPr>
          <w:p>
            <w:pPr>
              <w:rPr>
                <w:sz w:val="24"/>
              </w:rPr>
            </w:pPr>
          </w:p>
        </w:tc>
        <w:tc>
          <w:tcPr>
            <w:tcW w:w="1134" w:type="dxa"/>
            <w:vMerge w:val="continue"/>
            <w:tcBorders>
              <w:left w:val="single" w:color="000000" w:sz="8" w:space="0"/>
              <w:bottom w:val="single" w:color="000000" w:sz="8" w:space="0"/>
              <w:right w:val="single" w:color="000000" w:sz="8" w:space="0"/>
            </w:tcBorders>
            <w:shd w:val="clear" w:color="auto" w:fill="FDFCFC"/>
            <w:vAlign w:val="center"/>
          </w:tcPr>
          <w:p>
            <w:pPr>
              <w:rPr>
                <w:sz w:val="24"/>
              </w:rPr>
            </w:pPr>
          </w:p>
        </w:tc>
        <w:tc>
          <w:tcPr>
            <w:tcW w:w="2250" w:type="dxa"/>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专业</w:t>
            </w:r>
          </w:p>
        </w:tc>
        <w:tc>
          <w:tcPr>
            <w:tcW w:w="1435" w:type="dxa"/>
            <w:gridSpan w:val="2"/>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学历</w:t>
            </w:r>
          </w:p>
        </w:tc>
        <w:tc>
          <w:tcPr>
            <w:tcW w:w="993" w:type="dxa"/>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年龄</w:t>
            </w:r>
          </w:p>
        </w:tc>
        <w:tc>
          <w:tcPr>
            <w:tcW w:w="1276" w:type="dxa"/>
            <w:vMerge w:val="continue"/>
            <w:tcBorders>
              <w:left w:val="single" w:color="000000" w:sz="8" w:space="0"/>
              <w:bottom w:val="single" w:color="000000" w:sz="8" w:space="0"/>
              <w:right w:val="single" w:color="000000" w:sz="8" w:space="0"/>
            </w:tcBorders>
            <w:shd w:val="clear" w:color="auto" w:fill="FDFCFC"/>
          </w:tcPr>
          <w:p>
            <w:pPr>
              <w:jc w:val="center"/>
              <w:rPr>
                <w:sz w:val="24"/>
              </w:rPr>
            </w:pPr>
          </w:p>
        </w:tc>
        <w:tc>
          <w:tcPr>
            <w:tcW w:w="4252" w:type="dxa"/>
            <w:vMerge w:val="continue"/>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sz w:val="24"/>
              </w:rPr>
            </w:pPr>
          </w:p>
        </w:tc>
      </w:tr>
      <w:tr>
        <w:tblPrEx>
          <w:tblCellMar>
            <w:top w:w="0" w:type="dxa"/>
            <w:left w:w="0" w:type="dxa"/>
            <w:bottom w:w="0" w:type="dxa"/>
            <w:right w:w="0" w:type="dxa"/>
          </w:tblCellMar>
        </w:tblPrEx>
        <w:trPr>
          <w:trHeight w:val="1046" w:hRule="atLeast"/>
        </w:trPr>
        <w:tc>
          <w:tcPr>
            <w:tcW w:w="567" w:type="dxa"/>
            <w:tcBorders>
              <w:top w:val="single" w:color="000000" w:sz="8" w:space="0"/>
              <w:left w:val="single" w:color="000000" w:sz="8" w:space="0"/>
              <w:right w:val="single" w:color="000000" w:sz="8" w:space="0"/>
            </w:tcBorders>
            <w:shd w:val="clear" w:color="auto" w:fill="FDFCFC"/>
            <w:vAlign w:val="center"/>
          </w:tcPr>
          <w:p>
            <w:pPr>
              <w:spacing w:line="220" w:lineRule="exact"/>
              <w:jc w:val="center"/>
              <w:rPr>
                <w:rFonts w:eastAsia="仿宋_GB2312"/>
                <w:szCs w:val="21"/>
              </w:rPr>
            </w:pPr>
            <w:r>
              <w:rPr>
                <w:rFonts w:hint="eastAsia" w:eastAsia="仿宋_GB2312"/>
                <w:szCs w:val="21"/>
              </w:rPr>
              <w:t>1</w:t>
            </w:r>
          </w:p>
        </w:tc>
        <w:tc>
          <w:tcPr>
            <w:tcW w:w="1135" w:type="dxa"/>
            <w:tcBorders>
              <w:top w:val="single" w:color="000000" w:sz="8" w:space="0"/>
              <w:left w:val="single" w:color="000000" w:sz="8" w:space="0"/>
              <w:right w:val="single" w:color="000000" w:sz="8" w:space="0"/>
            </w:tcBorders>
            <w:shd w:val="clear" w:color="auto" w:fill="FDFCFC"/>
            <w:vAlign w:val="center"/>
          </w:tcPr>
          <w:p>
            <w:pPr>
              <w:spacing w:line="220" w:lineRule="exact"/>
              <w:jc w:val="center"/>
              <w:rPr>
                <w:rFonts w:eastAsia="仿宋_GB2312"/>
                <w:szCs w:val="21"/>
              </w:rPr>
            </w:pPr>
            <w:r>
              <w:rPr>
                <w:rFonts w:hint="eastAsia" w:eastAsia="仿宋_GB2312"/>
                <w:szCs w:val="21"/>
              </w:rPr>
              <w:t>主任</w:t>
            </w:r>
          </w:p>
        </w:tc>
        <w:tc>
          <w:tcPr>
            <w:tcW w:w="1417" w:type="dxa"/>
            <w:tcBorders>
              <w:top w:val="single" w:color="000000" w:sz="8" w:space="0"/>
              <w:left w:val="single" w:color="000000" w:sz="8" w:space="0"/>
              <w:right w:val="single" w:color="auto" w:sz="4" w:space="0"/>
            </w:tcBorders>
            <w:shd w:val="clear" w:color="auto" w:fill="FDFCFC"/>
            <w:vAlign w:val="center"/>
          </w:tcPr>
          <w:p>
            <w:pPr>
              <w:spacing w:line="220" w:lineRule="exact"/>
              <w:jc w:val="center"/>
              <w:rPr>
                <w:rFonts w:eastAsia="仿宋_GB2312"/>
                <w:szCs w:val="21"/>
              </w:rPr>
            </w:pPr>
            <w:r>
              <w:rPr>
                <w:rFonts w:hint="eastAsia" w:eastAsia="仿宋_GB2312"/>
                <w:szCs w:val="21"/>
              </w:rPr>
              <w:t>检测结构室</w:t>
            </w:r>
          </w:p>
        </w:tc>
        <w:tc>
          <w:tcPr>
            <w:tcW w:w="567" w:type="dxa"/>
            <w:tcBorders>
              <w:top w:val="single" w:color="000000" w:sz="8" w:space="0"/>
              <w:left w:val="single" w:color="auto" w:sz="4" w:space="0"/>
              <w:right w:val="single" w:color="000000" w:sz="8" w:space="0"/>
            </w:tcBorders>
            <w:shd w:val="clear" w:color="auto" w:fill="FDFCFC"/>
            <w:vAlign w:val="center"/>
          </w:tcPr>
          <w:p>
            <w:pPr>
              <w:spacing w:line="220" w:lineRule="exact"/>
              <w:jc w:val="center"/>
              <w:rPr>
                <w:rFonts w:eastAsia="仿宋_GB2312"/>
                <w:szCs w:val="21"/>
              </w:rPr>
            </w:pPr>
            <w:r>
              <w:rPr>
                <w:rFonts w:hint="eastAsia" w:eastAsia="仿宋_GB2312"/>
                <w:szCs w:val="21"/>
              </w:rPr>
              <w:t>1</w:t>
            </w:r>
          </w:p>
        </w:tc>
        <w:tc>
          <w:tcPr>
            <w:tcW w:w="1134" w:type="dxa"/>
            <w:tcBorders>
              <w:top w:val="single" w:color="000000" w:sz="8" w:space="0"/>
              <w:left w:val="single" w:color="000000" w:sz="8" w:space="0"/>
              <w:right w:val="single" w:color="000000" w:sz="8" w:space="0"/>
            </w:tcBorders>
            <w:shd w:val="clear" w:color="auto" w:fill="FDFCFC"/>
            <w:vAlign w:val="center"/>
          </w:tcPr>
          <w:p>
            <w:pPr>
              <w:spacing w:line="220" w:lineRule="exact"/>
              <w:jc w:val="center"/>
              <w:rPr>
                <w:rFonts w:eastAsia="仿宋_GB2312"/>
                <w:szCs w:val="21"/>
              </w:rPr>
            </w:pPr>
            <w:r>
              <w:rPr>
                <w:rFonts w:hint="eastAsia" w:eastAsia="仿宋_GB2312"/>
                <w:szCs w:val="21"/>
              </w:rPr>
              <w:t>面向社会</w:t>
            </w:r>
          </w:p>
        </w:tc>
        <w:tc>
          <w:tcPr>
            <w:tcW w:w="2250" w:type="dxa"/>
            <w:tcBorders>
              <w:top w:val="single" w:color="000000" w:sz="8" w:space="0"/>
              <w:left w:val="single" w:color="000000" w:sz="8" w:space="0"/>
              <w:right w:val="single" w:color="000000" w:sz="8" w:space="0"/>
            </w:tcBorders>
            <w:shd w:val="clear" w:color="auto" w:fill="FDFCFC"/>
            <w:vAlign w:val="center"/>
          </w:tcPr>
          <w:p>
            <w:pPr>
              <w:spacing w:line="220" w:lineRule="exact"/>
              <w:jc w:val="center"/>
              <w:rPr>
                <w:rFonts w:eastAsia="仿宋_GB2312"/>
                <w:szCs w:val="21"/>
              </w:rPr>
            </w:pPr>
            <w:r>
              <w:rPr>
                <w:rFonts w:hint="eastAsia" w:eastAsia="仿宋_GB2312"/>
                <w:szCs w:val="21"/>
              </w:rPr>
              <w:t>土木类，建筑类，工业工程类，机械类，材料类，工程管理专业、工程造价专业</w:t>
            </w:r>
          </w:p>
        </w:tc>
        <w:tc>
          <w:tcPr>
            <w:tcW w:w="1435" w:type="dxa"/>
            <w:gridSpan w:val="2"/>
            <w:tcBorders>
              <w:top w:val="single" w:color="000000" w:sz="8" w:space="0"/>
              <w:left w:val="single" w:color="000000" w:sz="8" w:space="0"/>
              <w:right w:val="single" w:color="000000" w:sz="8" w:space="0"/>
            </w:tcBorders>
            <w:shd w:val="clear" w:color="auto" w:fill="FDFCFC"/>
            <w:vAlign w:val="center"/>
          </w:tcPr>
          <w:p>
            <w:pPr>
              <w:spacing w:line="220" w:lineRule="exact"/>
              <w:jc w:val="center"/>
              <w:rPr>
                <w:rFonts w:eastAsia="仿宋_GB2312"/>
                <w:szCs w:val="21"/>
              </w:rPr>
            </w:pPr>
            <w:r>
              <w:rPr>
                <w:rFonts w:hint="eastAsia" w:eastAsia="仿宋_GB2312"/>
                <w:szCs w:val="21"/>
              </w:rPr>
              <w:t>本科及以上  学历</w:t>
            </w:r>
          </w:p>
        </w:tc>
        <w:tc>
          <w:tcPr>
            <w:tcW w:w="993" w:type="dxa"/>
            <w:tcBorders>
              <w:top w:val="single" w:color="000000" w:sz="8" w:space="0"/>
              <w:left w:val="single" w:color="000000" w:sz="8" w:space="0"/>
              <w:right w:val="single" w:color="000000" w:sz="8" w:space="0"/>
            </w:tcBorders>
            <w:shd w:val="clear" w:color="auto" w:fill="FDFCFC"/>
            <w:vAlign w:val="center"/>
          </w:tcPr>
          <w:p>
            <w:pPr>
              <w:spacing w:line="220" w:lineRule="exact"/>
              <w:jc w:val="center"/>
              <w:rPr>
                <w:rFonts w:eastAsia="仿宋_GB2312"/>
                <w:szCs w:val="21"/>
              </w:rPr>
            </w:pPr>
            <w:r>
              <w:rPr>
                <w:rFonts w:hint="eastAsia" w:eastAsia="仿宋_GB2312"/>
                <w:szCs w:val="21"/>
              </w:rPr>
              <w:t>40</w:t>
            </w:r>
            <w:r>
              <w:rPr>
                <w:rFonts w:eastAsia="仿宋_GB2312"/>
                <w:szCs w:val="21"/>
              </w:rPr>
              <w:t>周岁</w:t>
            </w:r>
            <w:r>
              <w:rPr>
                <w:rFonts w:hint="eastAsia" w:eastAsia="仿宋_GB2312"/>
                <w:szCs w:val="21"/>
              </w:rPr>
              <w:t>及</w:t>
            </w:r>
            <w:r>
              <w:rPr>
                <w:rFonts w:eastAsia="仿宋_GB2312"/>
                <w:szCs w:val="21"/>
              </w:rPr>
              <w:t>以下</w:t>
            </w:r>
          </w:p>
        </w:tc>
        <w:tc>
          <w:tcPr>
            <w:tcW w:w="1276" w:type="dxa"/>
            <w:tcBorders>
              <w:top w:val="single" w:color="000000" w:sz="8" w:space="0"/>
              <w:left w:val="single" w:color="000000" w:sz="8" w:space="0"/>
              <w:right w:val="single" w:color="000000" w:sz="8" w:space="0"/>
            </w:tcBorders>
            <w:shd w:val="clear" w:color="auto" w:fill="FDFCFC"/>
            <w:vAlign w:val="center"/>
          </w:tcPr>
          <w:p>
            <w:pPr>
              <w:spacing w:line="220" w:lineRule="exact"/>
              <w:ind w:firstLine="105" w:firstLineChars="50"/>
              <w:jc w:val="center"/>
              <w:rPr>
                <w:rFonts w:eastAsia="仿宋_GB2312"/>
                <w:szCs w:val="21"/>
              </w:rPr>
            </w:pPr>
            <w:r>
              <w:rPr>
                <w:rFonts w:hint="eastAsia" w:eastAsia="仿宋_GB2312"/>
                <w:szCs w:val="21"/>
              </w:rPr>
              <w:t>另行通知</w:t>
            </w:r>
          </w:p>
        </w:tc>
        <w:tc>
          <w:tcPr>
            <w:tcW w:w="4252" w:type="dxa"/>
            <w:tcBorders>
              <w:top w:val="single" w:color="000000" w:sz="8" w:space="0"/>
              <w:left w:val="single" w:color="000000" w:sz="8" w:space="0"/>
              <w:right w:val="single" w:color="000000" w:sz="8" w:space="0"/>
            </w:tcBorders>
            <w:shd w:val="clear" w:color="auto" w:fill="FDFCFC"/>
            <w:vAlign w:val="center"/>
          </w:tcPr>
          <w:p>
            <w:pPr>
              <w:spacing w:line="240" w:lineRule="exact"/>
              <w:jc w:val="left"/>
              <w:rPr>
                <w:rFonts w:eastAsia="仿宋_GB2312"/>
                <w:szCs w:val="21"/>
              </w:rPr>
            </w:pPr>
            <w:r>
              <w:rPr>
                <w:rFonts w:hint="eastAsia" w:eastAsia="仿宋_GB2312"/>
                <w:szCs w:val="21"/>
              </w:rPr>
              <w:t xml:space="preserve">1.具有5年及以上市政检测或公路检测工作经历并持有公路水运检验检测工程师证；                             </w:t>
            </w:r>
          </w:p>
          <w:p>
            <w:pPr>
              <w:rPr>
                <w:rFonts w:eastAsia="仿宋_GB2312"/>
                <w:szCs w:val="21"/>
              </w:rPr>
            </w:pPr>
            <w:r>
              <w:rPr>
                <w:rFonts w:hint="eastAsia" w:eastAsia="仿宋_GB2312"/>
                <w:szCs w:val="21"/>
              </w:rPr>
              <w:t>2.具有中级及以上技术职称；</w:t>
            </w:r>
          </w:p>
          <w:p>
            <w:pPr>
              <w:rPr>
                <w:rFonts w:eastAsia="仿宋_GB2312"/>
                <w:szCs w:val="21"/>
              </w:rPr>
            </w:pPr>
            <w:r>
              <w:rPr>
                <w:rFonts w:hint="eastAsia" w:eastAsia="仿宋_GB2312"/>
                <w:szCs w:val="21"/>
              </w:rPr>
              <w:t>3.年薪资收入为9万元左右(含绩效工资)。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8" w:hRule="atLeast"/>
        </w:trPr>
        <w:tc>
          <w:tcPr>
            <w:tcW w:w="567" w:type="dxa"/>
            <w:shd w:val="clear" w:color="auto" w:fill="auto"/>
            <w:vAlign w:val="center"/>
          </w:tcPr>
          <w:p>
            <w:pPr>
              <w:spacing w:line="220" w:lineRule="exact"/>
              <w:jc w:val="center"/>
              <w:rPr>
                <w:rFonts w:eastAsia="仿宋_GB2312"/>
                <w:szCs w:val="21"/>
              </w:rPr>
            </w:pPr>
            <w:r>
              <w:rPr>
                <w:rFonts w:hint="eastAsia" w:eastAsia="仿宋_GB2312"/>
                <w:szCs w:val="21"/>
              </w:rPr>
              <w:t>2</w:t>
            </w:r>
          </w:p>
        </w:tc>
        <w:tc>
          <w:tcPr>
            <w:tcW w:w="1135" w:type="dxa"/>
            <w:shd w:val="clear" w:color="auto" w:fill="auto"/>
            <w:vAlign w:val="center"/>
          </w:tcPr>
          <w:p>
            <w:pPr>
              <w:spacing w:line="220" w:lineRule="exact"/>
              <w:jc w:val="center"/>
              <w:rPr>
                <w:rFonts w:eastAsia="仿宋_GB2312"/>
                <w:szCs w:val="21"/>
              </w:rPr>
            </w:pPr>
            <w:r>
              <w:rPr>
                <w:rFonts w:hint="eastAsia" w:eastAsia="仿宋_GB2312"/>
                <w:szCs w:val="21"/>
              </w:rPr>
              <w:t>检测岗</w:t>
            </w:r>
          </w:p>
        </w:tc>
        <w:tc>
          <w:tcPr>
            <w:tcW w:w="1417" w:type="dxa"/>
            <w:shd w:val="clear" w:color="auto" w:fill="auto"/>
            <w:vAlign w:val="center"/>
          </w:tcPr>
          <w:p>
            <w:pPr>
              <w:spacing w:line="220" w:lineRule="exact"/>
              <w:ind w:firstLine="105" w:firstLineChars="50"/>
              <w:rPr>
                <w:rFonts w:eastAsia="仿宋_GB2312"/>
                <w:szCs w:val="21"/>
              </w:rPr>
            </w:pPr>
            <w:r>
              <w:rPr>
                <w:rFonts w:hint="eastAsia" w:eastAsia="仿宋_GB2312"/>
                <w:szCs w:val="21"/>
              </w:rPr>
              <w:t>结构检测室</w:t>
            </w:r>
          </w:p>
        </w:tc>
        <w:tc>
          <w:tcPr>
            <w:tcW w:w="567" w:type="dxa"/>
            <w:shd w:val="clear" w:color="auto" w:fill="auto"/>
            <w:vAlign w:val="center"/>
          </w:tcPr>
          <w:p>
            <w:pPr>
              <w:spacing w:line="220" w:lineRule="exact"/>
              <w:jc w:val="center"/>
              <w:rPr>
                <w:rFonts w:eastAsia="仿宋_GB2312"/>
                <w:szCs w:val="21"/>
              </w:rPr>
            </w:pPr>
            <w:r>
              <w:rPr>
                <w:rFonts w:eastAsia="仿宋_GB2312"/>
                <w:szCs w:val="21"/>
              </w:rPr>
              <w:t>1</w:t>
            </w:r>
          </w:p>
        </w:tc>
        <w:tc>
          <w:tcPr>
            <w:tcW w:w="1134" w:type="dxa"/>
            <w:shd w:val="clear" w:color="auto" w:fill="auto"/>
            <w:vAlign w:val="center"/>
          </w:tcPr>
          <w:p>
            <w:pPr>
              <w:spacing w:line="220" w:lineRule="exact"/>
              <w:jc w:val="center"/>
              <w:rPr>
                <w:rFonts w:eastAsia="仿宋_GB2312"/>
                <w:szCs w:val="21"/>
              </w:rPr>
            </w:pPr>
            <w:r>
              <w:rPr>
                <w:rFonts w:eastAsia="仿宋_GB2312"/>
                <w:szCs w:val="21"/>
              </w:rPr>
              <w:t>面向社会</w:t>
            </w:r>
          </w:p>
        </w:tc>
        <w:tc>
          <w:tcPr>
            <w:tcW w:w="2268" w:type="dxa"/>
            <w:gridSpan w:val="2"/>
            <w:shd w:val="clear" w:color="auto" w:fill="auto"/>
            <w:vAlign w:val="center"/>
          </w:tcPr>
          <w:p>
            <w:pPr>
              <w:spacing w:line="220" w:lineRule="exact"/>
              <w:jc w:val="center"/>
              <w:rPr>
                <w:rFonts w:eastAsia="仿宋_GB2312"/>
                <w:szCs w:val="21"/>
              </w:rPr>
            </w:pPr>
            <w:r>
              <w:rPr>
                <w:rFonts w:hint="eastAsia" w:eastAsia="仿宋_GB2312"/>
                <w:szCs w:val="21"/>
              </w:rPr>
              <w:t>土木类，建筑类，工业工程类，机械类，材料类，工程管理专业、工程造价专业</w:t>
            </w:r>
          </w:p>
        </w:tc>
        <w:tc>
          <w:tcPr>
            <w:tcW w:w="1417" w:type="dxa"/>
            <w:shd w:val="clear" w:color="auto" w:fill="auto"/>
            <w:vAlign w:val="center"/>
          </w:tcPr>
          <w:p>
            <w:pPr>
              <w:spacing w:line="220" w:lineRule="exact"/>
              <w:jc w:val="center"/>
              <w:rPr>
                <w:rFonts w:eastAsia="仿宋_GB2312"/>
                <w:szCs w:val="21"/>
              </w:rPr>
            </w:pPr>
            <w:r>
              <w:rPr>
                <w:rFonts w:hint="eastAsia" w:eastAsia="仿宋_GB2312"/>
                <w:szCs w:val="21"/>
              </w:rPr>
              <w:t>本科及以上  学历</w:t>
            </w:r>
          </w:p>
        </w:tc>
        <w:tc>
          <w:tcPr>
            <w:tcW w:w="993" w:type="dxa"/>
            <w:shd w:val="clear" w:color="auto" w:fill="auto"/>
            <w:vAlign w:val="center"/>
          </w:tcPr>
          <w:p>
            <w:pPr>
              <w:spacing w:line="220" w:lineRule="exact"/>
              <w:jc w:val="center"/>
              <w:rPr>
                <w:rFonts w:eastAsia="仿宋_GB2312"/>
                <w:szCs w:val="21"/>
              </w:rPr>
            </w:pPr>
            <w:r>
              <w:rPr>
                <w:rFonts w:hint="eastAsia" w:eastAsia="仿宋_GB2312"/>
                <w:szCs w:val="21"/>
              </w:rPr>
              <w:t>40</w:t>
            </w:r>
            <w:r>
              <w:rPr>
                <w:rFonts w:eastAsia="仿宋_GB2312"/>
                <w:szCs w:val="21"/>
              </w:rPr>
              <w:t>周岁</w:t>
            </w:r>
            <w:r>
              <w:rPr>
                <w:rFonts w:hint="eastAsia" w:eastAsia="仿宋_GB2312"/>
                <w:szCs w:val="21"/>
              </w:rPr>
              <w:t>及</w:t>
            </w:r>
            <w:r>
              <w:rPr>
                <w:rFonts w:eastAsia="仿宋_GB2312"/>
                <w:szCs w:val="21"/>
              </w:rPr>
              <w:t>以下</w:t>
            </w:r>
          </w:p>
        </w:tc>
        <w:tc>
          <w:tcPr>
            <w:tcW w:w="1276" w:type="dxa"/>
            <w:shd w:val="clear" w:color="auto" w:fill="auto"/>
            <w:vAlign w:val="center"/>
          </w:tcPr>
          <w:p>
            <w:pPr>
              <w:spacing w:line="220" w:lineRule="exact"/>
              <w:jc w:val="center"/>
              <w:rPr>
                <w:rFonts w:eastAsia="仿宋_GB2312"/>
                <w:szCs w:val="21"/>
              </w:rPr>
            </w:pPr>
            <w:r>
              <w:rPr>
                <w:rFonts w:hint="eastAsia" w:eastAsia="仿宋_GB2312"/>
                <w:szCs w:val="21"/>
              </w:rPr>
              <w:t>另行通知</w:t>
            </w:r>
          </w:p>
        </w:tc>
        <w:tc>
          <w:tcPr>
            <w:tcW w:w="4252" w:type="dxa"/>
            <w:shd w:val="clear" w:color="auto" w:fill="auto"/>
            <w:vAlign w:val="center"/>
          </w:tcPr>
          <w:p>
            <w:pPr>
              <w:spacing w:line="200" w:lineRule="exact"/>
              <w:jc w:val="left"/>
              <w:rPr>
                <w:rFonts w:eastAsia="仿宋_GB2312"/>
                <w:szCs w:val="21"/>
              </w:rPr>
            </w:pPr>
            <w:r>
              <w:rPr>
                <w:rFonts w:hint="eastAsia" w:eastAsia="仿宋_GB2312"/>
                <w:szCs w:val="21"/>
              </w:rPr>
              <w:t>1.持有二级注册结构师证书；</w:t>
            </w:r>
          </w:p>
          <w:p>
            <w:pPr>
              <w:spacing w:line="200" w:lineRule="exact"/>
              <w:jc w:val="left"/>
              <w:rPr>
                <w:rFonts w:eastAsia="仿宋_GB2312"/>
                <w:szCs w:val="21"/>
              </w:rPr>
            </w:pPr>
            <w:r>
              <w:rPr>
                <w:rFonts w:hint="eastAsia" w:eastAsia="仿宋_GB2312"/>
                <w:szCs w:val="21"/>
              </w:rPr>
              <w:t>2.年薪资收入为12万元左右(含绩效工资)。</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0101ED"/>
    <w:rsid w:val="3A010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2021-12-24T00:32:00Z</dcterms:created>
  <dc:creator>万户网络</dc:creator>
  <cp:lastModifiedBy>万户网络</cp:lastModifiedBy>
  <dcterms:modified xsi:type="dcterms:W3CDTF">2021-12-24T00:33:13Z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A9B74214974449D499D1546D613D342C</vt:lpwstr>
  </property>
</Properties>
</file>